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A1" w:rsidRDefault="00F439A1">
      <w:pPr>
        <w:spacing w:line="228" w:lineRule="auto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4"/>
        <w:gridCol w:w="4669"/>
      </w:tblGrid>
      <w:tr w:rsidR="00F439A1">
        <w:trPr>
          <w:trHeight w:val="1827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before="120"/>
              <w:ind w:firstLine="0"/>
              <w:jc w:val="center"/>
              <w:rPr>
                <w:b/>
              </w:rPr>
            </w:pPr>
            <w:r>
              <w:rPr>
                <w:b/>
              </w:rPr>
              <w:t>БЮЛЛЕТЕНЬ ДЛЯ ГОЛОСОВАНИЯ НА ОБЩЕМ СОБРАНИИ АКЦИОНЕРОВ</w:t>
            </w:r>
          </w:p>
          <w:p w:rsidR="00F439A1" w:rsidRDefault="00F439A1">
            <w:pPr>
              <w:pStyle w:val="ConsNormal"/>
              <w:widowControl/>
              <w:spacing w:before="120" w:line="228" w:lineRule="auto"/>
              <w:ind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>Полное фирменное наименование:</w:t>
            </w:r>
            <w:r>
              <w:rPr>
                <w:b/>
                <w:sz w:val="16"/>
              </w:rPr>
              <w:t xml:space="preserve"> Акционерное общество "Племенной завод "Расцвет"</w:t>
            </w:r>
          </w:p>
          <w:p w:rsidR="00F439A1" w:rsidRDefault="00F439A1">
            <w:pPr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Место нахождения общества: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Российская Федерация, Ленинградская область, Приозерский район, дер. Кривко, ул. Фестивальная д.1.</w:t>
            </w:r>
          </w:p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Вид общего собрания акционеров: </w:t>
            </w:r>
            <w:r>
              <w:rPr>
                <w:b/>
                <w:sz w:val="16"/>
              </w:rPr>
              <w:t>годовое</w:t>
            </w:r>
          </w:p>
          <w:p w:rsidR="00F439A1" w:rsidRDefault="00F439A1">
            <w:pPr>
              <w:pStyle w:val="prilozhenie"/>
              <w:ind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Форма проведения общего собрания акционеров: </w:t>
            </w:r>
            <w:r>
              <w:rPr>
                <w:rFonts w:ascii="Arial" w:hAnsi="Arial"/>
                <w:b/>
                <w:sz w:val="16"/>
              </w:rPr>
              <w:t>собрание (совместное присутствие акционеров для обсуждения вопросов повестки дня и принятия решений по вопросам, поставленным на голосование)</w:t>
            </w:r>
          </w:p>
          <w:p w:rsidR="00F439A1" w:rsidRDefault="00F439A1">
            <w:pPr>
              <w:pStyle w:val="prilozhenie"/>
              <w:ind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Дата проведения общего собрания акционеров: </w:t>
            </w:r>
            <w:r>
              <w:rPr>
                <w:rFonts w:ascii="Arial" w:hAnsi="Arial"/>
                <w:b/>
                <w:sz w:val="16"/>
              </w:rPr>
              <w:t>“</w:t>
            </w:r>
            <w:smartTag w:uri="urn:schemas-microsoft-com:office:smarttags" w:element="metricconverter">
              <w:smartTagPr>
                <w:attr w:name="ProductID" w:val="02”"/>
              </w:smartTagPr>
              <w:r>
                <w:rPr>
                  <w:rFonts w:ascii="Arial" w:hAnsi="Arial"/>
                  <w:b/>
                  <w:sz w:val="16"/>
                </w:rPr>
                <w:t>02”</w:t>
              </w:r>
            </w:smartTag>
            <w:r>
              <w:rPr>
                <w:rFonts w:ascii="Arial" w:hAnsi="Arial"/>
                <w:b/>
                <w:sz w:val="16"/>
              </w:rPr>
              <w:t xml:space="preserve"> мая 2023 года</w:t>
            </w:r>
          </w:p>
          <w:p w:rsidR="00F439A1" w:rsidRDefault="00F439A1">
            <w:pPr>
              <w:pStyle w:val="prilozhenie"/>
              <w:ind w:firstLine="0"/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>Место проведения общего собрания: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 xml:space="preserve">Российская Федерация, Ленинградская область, Приозерский район, дер. Кривко, </w:t>
            </w:r>
            <w:r>
              <w:rPr>
                <w:rFonts w:ascii="Arial" w:hAnsi="Arial"/>
                <w:b/>
                <w:sz w:val="16"/>
              </w:rPr>
              <w:br/>
              <w:t>ул. Фестивальная д.1. (административное здание)</w:t>
            </w:r>
          </w:p>
          <w:p w:rsidR="00F439A1" w:rsidRDefault="00F439A1">
            <w:pPr>
              <w:pStyle w:val="prilozhenie"/>
              <w:ind w:firstLine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Время проведения общего собрания: </w:t>
            </w:r>
            <w:r>
              <w:rPr>
                <w:rFonts w:ascii="Arial" w:hAnsi="Arial"/>
                <w:b/>
                <w:sz w:val="16"/>
              </w:rPr>
              <w:t>12 час. 00 мин.</w:t>
            </w:r>
          </w:p>
          <w:p w:rsidR="00F439A1" w:rsidRDefault="00F439A1">
            <w:pPr>
              <w:pStyle w:val="ConsNormal"/>
              <w:widowControl/>
              <w:spacing w:after="120" w:line="228" w:lineRule="auto"/>
              <w:ind w:firstLine="0"/>
              <w:rPr>
                <w:b/>
                <w:sz w:val="16"/>
              </w:rPr>
            </w:pPr>
            <w:r>
              <w:rPr>
                <w:sz w:val="16"/>
              </w:rPr>
              <w:t xml:space="preserve">Почтовый адрес, по которому могут направляться заполненные бюллетени: </w:t>
            </w:r>
            <w:r>
              <w:rPr>
                <w:b/>
                <w:sz w:val="16"/>
              </w:rPr>
              <w:t>188730, Российская Федерация, Ленинградская область, Приозерский район, дер. Кривко, ул. Фестивальная д.1.</w:t>
            </w:r>
          </w:p>
        </w:tc>
      </w:tr>
      <w:tr w:rsidR="00F439A1">
        <w:trPr>
          <w:trHeight w:val="284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Акционер:</w:t>
            </w:r>
          </w:p>
        </w:tc>
      </w:tr>
      <w:tr w:rsidR="00F439A1">
        <w:trPr>
          <w:trHeight w:val="284"/>
        </w:trPr>
        <w:tc>
          <w:tcPr>
            <w:tcW w:w="10593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rPr>
                <w:b/>
                <w:sz w:val="18"/>
              </w:rPr>
            </w:pPr>
            <w:r>
              <w:rPr>
                <w:b/>
                <w:sz w:val="18"/>
              </w:rPr>
              <w:t>Номер комплекта:</w:t>
            </w:r>
          </w:p>
        </w:tc>
      </w:tr>
      <w:tr w:rsidR="00F439A1">
        <w:trPr>
          <w:trHeight w:hRule="exact" w:val="397"/>
        </w:trPr>
        <w:tc>
          <w:tcPr>
            <w:tcW w:w="59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rPr>
                <w:b/>
                <w:spacing w:val="-4"/>
                <w:sz w:val="18"/>
              </w:rPr>
            </w:pPr>
            <w:r>
              <w:rPr>
                <w:b/>
                <w:spacing w:val="-4"/>
                <w:sz w:val="18"/>
              </w:rPr>
              <w:t>Количество голосов по вопросам 1, 2, 4</w:t>
            </w:r>
          </w:p>
        </w:tc>
        <w:tc>
          <w:tcPr>
            <w:tcW w:w="46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sz w:val="18"/>
              </w:rPr>
            </w:pPr>
          </w:p>
        </w:tc>
      </w:tr>
      <w:tr w:rsidR="00F439A1">
        <w:trPr>
          <w:trHeight w:hRule="exact" w:val="397"/>
        </w:trPr>
        <w:tc>
          <w:tcPr>
            <w:tcW w:w="5924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spacing w:line="228" w:lineRule="auto"/>
              <w:ind w:firstLine="0"/>
              <w:rPr>
                <w:b/>
                <w:spacing w:val="-8"/>
                <w:sz w:val="18"/>
                <w:highlight w:val="yellow"/>
              </w:rPr>
            </w:pPr>
            <w:r>
              <w:rPr>
                <w:b/>
                <w:spacing w:val="-8"/>
                <w:sz w:val="18"/>
              </w:rPr>
              <w:t>Количество голосов по вопросу 3 (Кумулятивное голосование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66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right"/>
              <w:rPr>
                <w:b/>
                <w:sz w:val="18"/>
                <w:highlight w:val="yellow"/>
              </w:rPr>
            </w:pPr>
          </w:p>
        </w:tc>
      </w:tr>
    </w:tbl>
    <w:p w:rsidR="00F439A1" w:rsidRDefault="00F439A1">
      <w:pPr>
        <w:pStyle w:val="ConsNormal"/>
        <w:widowControl/>
        <w:tabs>
          <w:tab w:val="left" w:pos="825"/>
        </w:tabs>
        <w:ind w:firstLine="0"/>
        <w:rPr>
          <w:b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1"/>
      </w:tblGrid>
      <w:tr w:rsidR="00F439A1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8"/>
              </w:rPr>
            </w:pPr>
            <w:r>
              <w:rPr>
                <w:b/>
                <w:spacing w:val="-8"/>
                <w:sz w:val="18"/>
              </w:rPr>
              <w:t>1.</w:t>
            </w:r>
          </w:p>
        </w:tc>
        <w:tc>
          <w:tcPr>
            <w:tcW w:w="9874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rPr>
                <w:spacing w:val="-6"/>
                <w:sz w:val="21"/>
              </w:rPr>
            </w:pPr>
            <w:r>
              <w:rPr>
                <w:rFonts w:ascii="Arial" w:hAnsi="Arial"/>
                <w:b/>
                <w:sz w:val="18"/>
              </w:rPr>
              <w:t>Утверждение годового отчета, годовой бухгалтерской (финансовой) отчетности Общества.</w:t>
            </w:r>
          </w:p>
        </w:tc>
      </w:tr>
      <w:tr w:rsidR="00F439A1">
        <w:trPr>
          <w:trHeight w:val="469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widowControl w:val="0"/>
              <w:tabs>
                <w:tab w:val="left" w:pos="612"/>
                <w:tab w:val="left" w:pos="792"/>
              </w:tabs>
              <w:spacing w:before="120" w:after="120" w:line="228" w:lineRule="auto"/>
              <w:jc w:val="both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Утвердить годовой отчет, годовую бухгалтерскую (финансовую) отчетность Общества по результатам 2022 отчетного года.</w:t>
            </w:r>
          </w:p>
        </w:tc>
      </w:tr>
      <w:tr w:rsidR="00F439A1">
        <w:trPr>
          <w:trHeight w:val="66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Голосование: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Зачеркнуть ненужные</w:t>
            </w:r>
            <w:r>
              <w:rPr>
                <w:sz w:val="14"/>
              </w:rPr>
              <w:t xml:space="preserve"> варианты, </w:t>
            </w:r>
            <w:r>
              <w:rPr>
                <w:b/>
                <w:sz w:val="14"/>
              </w:rPr>
              <w:t>оставив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не зачеркнутым</w:t>
            </w:r>
            <w:r>
              <w:rPr>
                <w:sz w:val="14"/>
              </w:rPr>
              <w:t xml:space="preserve"> выбранный Вами </w:t>
            </w:r>
            <w:r>
              <w:rPr>
                <w:b/>
                <w:sz w:val="14"/>
              </w:rPr>
              <w:t>один вариант</w:t>
            </w:r>
          </w:p>
        </w:tc>
      </w:tr>
      <w:tr w:rsidR="00F439A1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ВОЗДЕРЖАЛСЯ</w:t>
            </w:r>
          </w:p>
        </w:tc>
      </w:tr>
      <w:tr w:rsidR="00F439A1">
        <w:trPr>
          <w:trHeight w:val="245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</w:tr>
    </w:tbl>
    <w:p w:rsidR="00F439A1" w:rsidRDefault="00F439A1">
      <w:pPr>
        <w:spacing w:before="60" w:line="228" w:lineRule="auto"/>
        <w:rPr>
          <w:sz w:val="16"/>
        </w:rPr>
      </w:pPr>
      <w:r>
        <w:rPr>
          <w:sz w:val="16"/>
        </w:rPr>
        <w:t>*Текст годового отчета, годовой бухгалтерской (финансовой) отчетности Общества доступен для ознакомления в составе информации и материалов, которые предоставляются акционерам при подготовке к проведению годового общего собрания.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1"/>
      </w:tblGrid>
      <w:tr w:rsidR="00F439A1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8"/>
              </w:rPr>
            </w:pPr>
            <w:r>
              <w:rPr>
                <w:b/>
                <w:spacing w:val="-8"/>
                <w:sz w:val="18"/>
              </w:rPr>
              <w:t>2.</w:t>
            </w:r>
          </w:p>
        </w:tc>
        <w:tc>
          <w:tcPr>
            <w:tcW w:w="9874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rPr>
                <w:b/>
                <w:spacing w:val="-6"/>
                <w:sz w:val="21"/>
              </w:rPr>
            </w:pPr>
            <w:r>
              <w:rPr>
                <w:b/>
                <w:sz w:val="20"/>
              </w:rPr>
              <w:t>Распределение прибыли (в том числе выплата дивидендов) и убытков Общества по результатам 2022 отчетного года.</w:t>
            </w:r>
          </w:p>
        </w:tc>
      </w:tr>
      <w:tr w:rsidR="00F439A1">
        <w:trPr>
          <w:trHeight w:val="469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spacing w:before="120"/>
              <w:jc w:val="both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>Чистую прибыль по результатам 2022 года не распределять, дивиденды по итогам 2022 года не начислять и не выплачивать.</w:t>
            </w:r>
          </w:p>
        </w:tc>
      </w:tr>
      <w:tr w:rsidR="00F439A1">
        <w:trPr>
          <w:trHeight w:val="66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Голосование: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Зачеркнуть ненужные</w:t>
            </w:r>
            <w:r>
              <w:rPr>
                <w:sz w:val="14"/>
              </w:rPr>
              <w:t xml:space="preserve"> варианты, </w:t>
            </w:r>
            <w:r>
              <w:rPr>
                <w:b/>
                <w:sz w:val="14"/>
              </w:rPr>
              <w:t>оставив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не зачеркнутым</w:t>
            </w:r>
            <w:r>
              <w:rPr>
                <w:sz w:val="14"/>
              </w:rPr>
              <w:t xml:space="preserve"> выбранный Вами </w:t>
            </w:r>
            <w:r>
              <w:rPr>
                <w:b/>
                <w:sz w:val="14"/>
              </w:rPr>
              <w:t>один вариант</w:t>
            </w:r>
          </w:p>
        </w:tc>
      </w:tr>
      <w:tr w:rsidR="00F439A1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ВОЗДЕРЖАЛСЯ</w:t>
            </w:r>
          </w:p>
        </w:tc>
      </w:tr>
      <w:tr w:rsidR="00F439A1">
        <w:trPr>
          <w:trHeight w:val="245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</w:tr>
    </w:tbl>
    <w:p w:rsidR="00F439A1" w:rsidRDefault="00F439A1">
      <w:pPr>
        <w:pStyle w:val="ConsNormal"/>
        <w:widowControl/>
        <w:spacing w:line="228" w:lineRule="auto"/>
        <w:ind w:firstLine="0"/>
        <w:rPr>
          <w:b/>
          <w:color w:val="FFFFFF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180"/>
        <w:gridCol w:w="4556"/>
        <w:gridCol w:w="2869"/>
        <w:gridCol w:w="539"/>
        <w:gridCol w:w="539"/>
        <w:gridCol w:w="718"/>
        <w:gridCol w:w="475"/>
      </w:tblGrid>
      <w:tr w:rsidR="00F439A1">
        <w:trPr>
          <w:trHeight w:val="175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9875" w:type="dxa"/>
            <w:gridSpan w:val="7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jc w:val="both"/>
              <w:rPr>
                <w:rFonts w:ascii="Arial" w:hAnsi="Arial"/>
                <w:b/>
                <w:spacing w:val="-6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Избрание членов Совета директоров Общества.</w:t>
            </w:r>
          </w:p>
        </w:tc>
      </w:tr>
      <w:tr w:rsidR="00F439A1">
        <w:trPr>
          <w:trHeight w:val="175"/>
        </w:trPr>
        <w:tc>
          <w:tcPr>
            <w:tcW w:w="5453" w:type="dxa"/>
            <w:gridSpan w:val="3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before="120" w:after="120"/>
              <w:ind w:firstLine="0"/>
              <w:jc w:val="both"/>
              <w:rPr>
                <w:rFonts w:ascii="Times New Roman" w:hAnsi="Times New Roman"/>
                <w:spacing w:val="-8"/>
                <w:sz w:val="20"/>
                <w:highlight w:val="red"/>
              </w:rPr>
            </w:pPr>
            <w:r w:rsidRPr="002C424E">
              <w:rPr>
                <w:rFonts w:ascii="Times New Roman" w:hAnsi="Times New Roman"/>
                <w:b/>
                <w:spacing w:val="-8"/>
                <w:sz w:val="20"/>
                <w:u w:val="single"/>
              </w:rPr>
              <w:t>Формулировка решения</w:t>
            </w:r>
            <w:r w:rsidRPr="002C424E">
              <w:rPr>
                <w:rFonts w:ascii="Times New Roman" w:hAnsi="Times New Roman"/>
                <w:b/>
                <w:spacing w:val="-8"/>
                <w:sz w:val="20"/>
              </w:rPr>
              <w:t xml:space="preserve">: </w:t>
            </w:r>
            <w:r w:rsidRPr="002C424E">
              <w:rPr>
                <w:rFonts w:ascii="Times New Roman" w:hAnsi="Times New Roman"/>
                <w:sz w:val="20"/>
              </w:rPr>
              <w:t xml:space="preserve">Избрать Совет директоров Общества в  количестве 5 человек в следующем составе:  </w:t>
            </w:r>
          </w:p>
        </w:tc>
        <w:tc>
          <w:tcPr>
            <w:tcW w:w="51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4"/>
              </w:rPr>
              <w:t>Зачеркнуть ненужные</w:t>
            </w:r>
            <w:r>
              <w:rPr>
                <w:sz w:val="14"/>
              </w:rPr>
              <w:t xml:space="preserve"> варианты, </w:t>
            </w:r>
            <w:r>
              <w:rPr>
                <w:b/>
                <w:sz w:val="14"/>
              </w:rPr>
              <w:t>оставив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не зачеркнутым</w:t>
            </w:r>
            <w:r>
              <w:rPr>
                <w:sz w:val="14"/>
              </w:rPr>
              <w:t xml:space="preserve"> выбранный Вами </w:t>
            </w:r>
            <w:r>
              <w:rPr>
                <w:b/>
                <w:sz w:val="14"/>
              </w:rPr>
              <w:t>один вариант</w:t>
            </w:r>
          </w:p>
        </w:tc>
      </w:tr>
      <w:tr w:rsidR="00F439A1">
        <w:trPr>
          <w:trHeight w:val="149"/>
        </w:trPr>
        <w:tc>
          <w:tcPr>
            <w:tcW w:w="5453" w:type="dxa"/>
            <w:gridSpan w:val="3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/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</w:t>
            </w:r>
          </w:p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4"/>
              </w:rPr>
              <w:t>(Проставить число голосов)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ПРОТИВ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Для проставления числа голосов</w:t>
            </w:r>
          </w:p>
        </w:tc>
        <w:tc>
          <w:tcPr>
            <w:tcW w:w="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ВОЗДЕРЖАЛСЯ</w:t>
            </w:r>
          </w:p>
        </w:tc>
        <w:tc>
          <w:tcPr>
            <w:tcW w:w="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>
            <w:pPr>
              <w:pStyle w:val="ConsNormal"/>
              <w:widowControl/>
              <w:spacing w:line="228" w:lineRule="auto"/>
              <w:ind w:right="113" w:firstLine="0"/>
              <w:jc w:val="center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Для проставления числа голосов</w:t>
            </w:r>
          </w:p>
        </w:tc>
      </w:tr>
      <w:tr w:rsidR="00F439A1">
        <w:trPr>
          <w:trHeight w:val="239"/>
        </w:trPr>
        <w:tc>
          <w:tcPr>
            <w:tcW w:w="89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C424E">
              <w:rPr>
                <w:rFonts w:ascii="Times New Roman" w:hAnsi="Times New Roman"/>
                <w:spacing w:val="-8"/>
                <w:sz w:val="20"/>
              </w:rPr>
              <w:t>1.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jc w:val="both"/>
              <w:rPr>
                <w:sz w:val="20"/>
              </w:rPr>
            </w:pPr>
            <w:r>
              <w:rPr>
                <w:sz w:val="20"/>
              </w:rPr>
              <w:t>Крицкий Артем Михайлович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</w:tr>
      <w:tr w:rsidR="00F439A1">
        <w:trPr>
          <w:trHeight w:val="239"/>
        </w:trPr>
        <w:tc>
          <w:tcPr>
            <w:tcW w:w="89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C424E">
              <w:rPr>
                <w:rFonts w:ascii="Times New Roman" w:hAnsi="Times New Roman"/>
                <w:spacing w:val="-8"/>
                <w:sz w:val="20"/>
              </w:rPr>
              <w:t>2.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jc w:val="both"/>
              <w:rPr>
                <w:sz w:val="20"/>
              </w:rPr>
            </w:pPr>
            <w:r>
              <w:rPr>
                <w:sz w:val="20"/>
              </w:rPr>
              <w:t>Тюхта Адександра Дмитриевна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Footer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</w:tr>
      <w:tr w:rsidR="00F439A1">
        <w:trPr>
          <w:trHeight w:val="239"/>
        </w:trPr>
        <w:tc>
          <w:tcPr>
            <w:tcW w:w="89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C424E">
              <w:rPr>
                <w:rFonts w:ascii="Times New Roman" w:hAnsi="Times New Roman"/>
                <w:spacing w:val="-8"/>
                <w:sz w:val="20"/>
              </w:rPr>
              <w:t>3.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Тимофеева Елена Николаевна 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Footer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</w:tr>
      <w:tr w:rsidR="00F439A1">
        <w:trPr>
          <w:trHeight w:val="239"/>
        </w:trPr>
        <w:tc>
          <w:tcPr>
            <w:tcW w:w="89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C424E">
              <w:rPr>
                <w:rFonts w:ascii="Times New Roman" w:hAnsi="Times New Roman"/>
                <w:spacing w:val="-8"/>
                <w:sz w:val="20"/>
              </w:rPr>
              <w:t>4.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jc w:val="both"/>
              <w:rPr>
                <w:sz w:val="20"/>
              </w:rPr>
            </w:pPr>
            <w:r>
              <w:rPr>
                <w:sz w:val="20"/>
              </w:rPr>
              <w:t>Горид Алексей Леонидович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Footer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</w:tr>
      <w:tr w:rsidR="00F439A1">
        <w:trPr>
          <w:trHeight w:val="239"/>
        </w:trPr>
        <w:tc>
          <w:tcPr>
            <w:tcW w:w="89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Pr="002C424E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rFonts w:ascii="Times New Roman" w:hAnsi="Times New Roman"/>
                <w:spacing w:val="-8"/>
                <w:sz w:val="20"/>
              </w:rPr>
            </w:pPr>
            <w:r w:rsidRPr="002C424E">
              <w:rPr>
                <w:rFonts w:ascii="Times New Roman" w:hAnsi="Times New Roman"/>
                <w:spacing w:val="-8"/>
                <w:sz w:val="20"/>
              </w:rPr>
              <w:t>5.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jc w:val="both"/>
              <w:rPr>
                <w:sz w:val="20"/>
              </w:rPr>
            </w:pPr>
            <w:r>
              <w:rPr>
                <w:sz w:val="20"/>
              </w:rPr>
              <w:t>Киберев Борис Борисович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Footer"/>
              <w:spacing w:line="228" w:lineRule="auto"/>
              <w:jc w:val="center"/>
              <w:rPr>
                <w:b/>
              </w:rPr>
            </w:pPr>
          </w:p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5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  <w:tc>
          <w:tcPr>
            <w:tcW w:w="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439A1" w:rsidRDefault="00F439A1"/>
        </w:tc>
        <w:tc>
          <w:tcPr>
            <w:tcW w:w="4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extDirection w:val="btLr"/>
          </w:tcPr>
          <w:p w:rsidR="00F439A1" w:rsidRDefault="00F439A1"/>
        </w:tc>
      </w:tr>
    </w:tbl>
    <w:p w:rsidR="00F439A1" w:rsidRDefault="00F439A1">
      <w:pPr>
        <w:spacing w:before="60" w:line="228" w:lineRule="auto"/>
        <w:ind w:left="284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8"/>
        <w:gridCol w:w="2693"/>
        <w:gridCol w:w="3770"/>
        <w:gridCol w:w="3411"/>
      </w:tblGrid>
      <w:tr w:rsidR="00F439A1">
        <w:trPr>
          <w:trHeight w:val="223"/>
        </w:trPr>
        <w:tc>
          <w:tcPr>
            <w:tcW w:w="718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8"/>
              </w:rPr>
            </w:pPr>
            <w:r>
              <w:rPr>
                <w:b/>
                <w:spacing w:val="-8"/>
                <w:sz w:val="18"/>
              </w:rPr>
              <w:t>4.</w:t>
            </w:r>
          </w:p>
        </w:tc>
        <w:tc>
          <w:tcPr>
            <w:tcW w:w="9874" w:type="dxa"/>
            <w:gridSpan w:val="3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rPr>
                <w:spacing w:val="-6"/>
                <w:sz w:val="21"/>
              </w:rPr>
            </w:pPr>
            <w:r>
              <w:rPr>
                <w:rFonts w:ascii="Arial" w:hAnsi="Arial"/>
                <w:b/>
                <w:sz w:val="18"/>
              </w:rPr>
              <w:t>Утверждение аудитора Общества</w:t>
            </w:r>
            <w:r>
              <w:t>.</w:t>
            </w:r>
          </w:p>
        </w:tc>
      </w:tr>
      <w:tr w:rsidR="00F439A1">
        <w:trPr>
          <w:trHeight w:val="469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tabs>
                <w:tab w:val="left" w:pos="5760"/>
              </w:tabs>
              <w:jc w:val="both"/>
              <w:rPr>
                <w:b/>
                <w:spacing w:val="-8"/>
                <w:sz w:val="20"/>
              </w:rPr>
            </w:pPr>
            <w:r>
              <w:rPr>
                <w:b/>
                <w:spacing w:val="-8"/>
                <w:sz w:val="20"/>
                <w:u w:val="single"/>
              </w:rPr>
              <w:t>Формулировка решения:</w:t>
            </w:r>
            <w:r>
              <w:rPr>
                <w:spacing w:val="-8"/>
                <w:sz w:val="20"/>
              </w:rPr>
              <w:t xml:space="preserve">  </w:t>
            </w:r>
            <w:r>
              <w:rPr>
                <w:sz w:val="20"/>
              </w:rPr>
              <w:t xml:space="preserve">Утвердить аудитором Общества на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0"/>
                </w:rPr>
                <w:t>2023 г</w:t>
              </w:r>
            </w:smartTag>
            <w:r>
              <w:rPr>
                <w:sz w:val="20"/>
              </w:rPr>
              <w:t>. Акционерное общество «Аудиторы северной столицы» ОГРН: 1027809225762.</w:t>
            </w:r>
          </w:p>
        </w:tc>
      </w:tr>
      <w:tr w:rsidR="00F439A1">
        <w:trPr>
          <w:trHeight w:val="66"/>
        </w:trPr>
        <w:tc>
          <w:tcPr>
            <w:tcW w:w="10592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Голосование: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Зачеркнуть ненужные</w:t>
            </w:r>
            <w:r>
              <w:rPr>
                <w:sz w:val="14"/>
              </w:rPr>
              <w:t xml:space="preserve"> варианты, </w:t>
            </w:r>
            <w:r>
              <w:rPr>
                <w:b/>
                <w:sz w:val="14"/>
              </w:rPr>
              <w:t>оставив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не зачеркнутым</w:t>
            </w:r>
            <w:r>
              <w:rPr>
                <w:sz w:val="14"/>
              </w:rPr>
              <w:t xml:space="preserve"> выбранный Вами </w:t>
            </w:r>
            <w:r>
              <w:rPr>
                <w:b/>
                <w:sz w:val="14"/>
              </w:rPr>
              <w:t>один вариант</w:t>
            </w:r>
          </w:p>
        </w:tc>
      </w:tr>
      <w:tr w:rsidR="00F439A1">
        <w:trPr>
          <w:trHeight w:val="214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ПРОТИВ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b/>
                <w:spacing w:val="-8"/>
                <w:sz w:val="16"/>
              </w:rPr>
            </w:pPr>
            <w:r>
              <w:rPr>
                <w:b/>
                <w:spacing w:val="-8"/>
                <w:sz w:val="16"/>
              </w:rPr>
              <w:t>ВОЗДЕРЖАЛСЯ</w:t>
            </w:r>
          </w:p>
        </w:tc>
      </w:tr>
      <w:tr w:rsidR="00F439A1">
        <w:trPr>
          <w:trHeight w:val="245"/>
        </w:trPr>
        <w:tc>
          <w:tcPr>
            <w:tcW w:w="3411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439A1" w:rsidRDefault="00F439A1">
            <w:pPr>
              <w:pStyle w:val="ConsNormal"/>
              <w:widowControl/>
              <w:spacing w:line="228" w:lineRule="auto"/>
              <w:ind w:firstLine="0"/>
              <w:jc w:val="center"/>
              <w:rPr>
                <w:spacing w:val="-8"/>
                <w:sz w:val="16"/>
              </w:rPr>
            </w:pPr>
            <w:r>
              <w:rPr>
                <w:b/>
                <w:color w:val="FFFFFF"/>
                <w:sz w:val="16"/>
              </w:rPr>
              <w:t>Для проставления числа голосов</w:t>
            </w:r>
          </w:p>
        </w:tc>
      </w:tr>
    </w:tbl>
    <w:p w:rsidR="00F439A1" w:rsidRDefault="00F439A1">
      <w:pPr>
        <w:spacing w:before="60" w:line="228" w:lineRule="auto"/>
        <w:rPr>
          <w:b/>
          <w:sz w:val="16"/>
        </w:rPr>
      </w:pPr>
    </w:p>
    <w:p w:rsidR="00F439A1" w:rsidRDefault="00F439A1">
      <w:pPr>
        <w:spacing w:before="60" w:line="228" w:lineRule="auto"/>
        <w:rPr>
          <w:b/>
          <w:sz w:val="16"/>
        </w:rPr>
      </w:pPr>
      <w:r>
        <w:rPr>
          <w:b/>
          <w:sz w:val="16"/>
        </w:rPr>
        <w:t>Поля для проставления отметок в случаях, если оставлено (выбрано) более одного варианта голосования:</w:t>
      </w:r>
    </w:p>
    <w:p w:rsidR="00F439A1" w:rsidRDefault="00F439A1">
      <w:pPr>
        <w:spacing w:before="60" w:line="192" w:lineRule="auto"/>
        <w:ind w:left="284"/>
        <w:rPr>
          <w:sz w:val="16"/>
        </w:rPr>
      </w:pPr>
      <w:r>
        <w:rPr>
          <w:sz w:val="16"/>
        </w:rPr>
        <w:t xml:space="preserve">- </w:t>
      </w:r>
      <w:r>
        <w:rPr>
          <w:spacing w:val="-4"/>
          <w:sz w:val="16"/>
        </w:rPr>
        <w:t>по доверенности, выданной в отношении переданных акций</w:t>
      </w:r>
    </w:p>
    <w:p w:rsidR="00F439A1" w:rsidRDefault="00F439A1">
      <w:pPr>
        <w:spacing w:before="60" w:line="192" w:lineRule="auto"/>
        <w:ind w:left="284"/>
        <w:rPr>
          <w:sz w:val="16"/>
        </w:rPr>
      </w:pPr>
      <w:r>
        <w:rPr>
          <w:sz w:val="16"/>
        </w:rPr>
        <w:t xml:space="preserve">- </w:t>
      </w:r>
      <w:r>
        <w:rPr>
          <w:spacing w:val="-4"/>
          <w:sz w:val="16"/>
        </w:rPr>
        <w:t>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</w:t>
      </w:r>
    </w:p>
    <w:p w:rsidR="00F439A1" w:rsidRDefault="00F439A1">
      <w:pPr>
        <w:spacing w:before="60" w:line="192" w:lineRule="auto"/>
        <w:ind w:left="284"/>
        <w:rPr>
          <w:sz w:val="16"/>
        </w:rPr>
      </w:pPr>
      <w:r>
        <w:rPr>
          <w:sz w:val="16"/>
        </w:rPr>
        <w:t xml:space="preserve">- </w:t>
      </w:r>
      <w:r>
        <w:rPr>
          <w:spacing w:val="-4"/>
          <w:sz w:val="16"/>
        </w:rPr>
        <w:t>голосование осуществляется в соответствии с указаниями владельцев депозитарных ценных бумаг и иных лиц, осуществляющих права по депозитарным ценным бумагам</w:t>
      </w:r>
    </w:p>
    <w:p w:rsidR="00F439A1" w:rsidRDefault="00F439A1">
      <w:pPr>
        <w:spacing w:before="60" w:line="192" w:lineRule="auto"/>
        <w:ind w:left="284"/>
        <w:rPr>
          <w:sz w:val="16"/>
        </w:rPr>
      </w:pPr>
      <w:r>
        <w:rPr>
          <w:sz w:val="16"/>
        </w:rPr>
        <w:t xml:space="preserve">- </w:t>
      </w:r>
      <w:r>
        <w:rPr>
          <w:spacing w:val="-4"/>
          <w:sz w:val="16"/>
        </w:rPr>
        <w:t>часть акций передана после даты, на которую определяются (фиксируются) лица, имеющие право на участие в общем собрании</w:t>
      </w:r>
    </w:p>
    <w:p w:rsidR="00F439A1" w:rsidRDefault="00F439A1">
      <w:pPr>
        <w:spacing w:before="60" w:line="228" w:lineRule="auto"/>
        <w:rPr>
          <w:sz w:val="20"/>
        </w:rPr>
      </w:pPr>
    </w:p>
    <w:p w:rsidR="00F439A1" w:rsidRDefault="00F439A1">
      <w:pPr>
        <w:spacing w:before="60" w:line="228" w:lineRule="auto"/>
        <w:rPr>
          <w:sz w:val="20"/>
        </w:rPr>
      </w:pPr>
      <w:r>
        <w:rPr>
          <w:sz w:val="20"/>
        </w:rPr>
        <w:t>Подпись акционера (представителя) _____________________________________</w:t>
      </w:r>
    </w:p>
    <w:p w:rsidR="00F439A1" w:rsidRDefault="00F439A1">
      <w:pPr>
        <w:pStyle w:val="ConsPlusNormal"/>
        <w:jc w:val="center"/>
        <w:rPr>
          <w:b/>
          <w:sz w:val="20"/>
        </w:rPr>
      </w:pPr>
    </w:p>
    <w:p w:rsidR="00F439A1" w:rsidRDefault="00F439A1">
      <w:pPr>
        <w:pStyle w:val="ConsPlusNormal"/>
        <w:jc w:val="center"/>
        <w:rPr>
          <w:b/>
          <w:sz w:val="20"/>
        </w:rPr>
      </w:pPr>
    </w:p>
    <w:p w:rsidR="00F439A1" w:rsidRDefault="00F439A1">
      <w:pPr>
        <w:pStyle w:val="ConsPlusNormal"/>
        <w:jc w:val="center"/>
        <w:rPr>
          <w:b/>
          <w:sz w:val="20"/>
        </w:rPr>
      </w:pPr>
    </w:p>
    <w:p w:rsidR="00F439A1" w:rsidRDefault="00F439A1">
      <w:pPr>
        <w:pStyle w:val="ConsPlusNormal"/>
        <w:jc w:val="center"/>
        <w:rPr>
          <w:b/>
          <w:sz w:val="20"/>
        </w:rPr>
      </w:pPr>
    </w:p>
    <w:p w:rsidR="00F439A1" w:rsidRDefault="00F439A1">
      <w:pPr>
        <w:pStyle w:val="ConsPlusNormal"/>
        <w:jc w:val="center"/>
        <w:rPr>
          <w:b/>
          <w:sz w:val="20"/>
        </w:rPr>
      </w:pPr>
      <w:r>
        <w:rPr>
          <w:b/>
          <w:sz w:val="20"/>
        </w:rPr>
        <w:t>Бюллетень для голосования должен быть подписан лицом, имеющим право на участие в общем собрании акционеров, или его представителем.</w:t>
      </w:r>
    </w:p>
    <w:p w:rsidR="00F439A1" w:rsidRDefault="00F439A1">
      <w:pPr>
        <w:spacing w:before="60" w:after="60" w:line="228" w:lineRule="auto"/>
        <w:jc w:val="center"/>
        <w:rPr>
          <w:b/>
          <w:sz w:val="22"/>
        </w:rPr>
      </w:pPr>
    </w:p>
    <w:p w:rsidR="00F439A1" w:rsidRDefault="00F439A1">
      <w:pPr>
        <w:spacing w:line="228" w:lineRule="auto"/>
        <w:jc w:val="center"/>
        <w:rPr>
          <w:b/>
          <w:sz w:val="18"/>
        </w:rPr>
      </w:pPr>
      <w:r>
        <w:rPr>
          <w:b/>
          <w:sz w:val="18"/>
        </w:rPr>
        <w:t>Разъяснения по порядку голосования:</w:t>
      </w:r>
    </w:p>
    <w:p w:rsidR="00F439A1" w:rsidRDefault="00F439A1">
      <w:pPr>
        <w:pStyle w:val="ConsPlusNormal"/>
        <w:ind w:firstLine="540"/>
        <w:jc w:val="both"/>
        <w:rPr>
          <w:spacing w:val="-4"/>
          <w:sz w:val="16"/>
        </w:rPr>
      </w:pPr>
      <w:r>
        <w:rPr>
          <w:spacing w:val="-4"/>
          <w:sz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F439A1" w:rsidRDefault="00F439A1">
      <w:pPr>
        <w:pStyle w:val="ConsPlusNormal"/>
        <w:ind w:firstLine="540"/>
        <w:jc w:val="both"/>
        <w:rPr>
          <w:spacing w:val="-4"/>
          <w:sz w:val="16"/>
        </w:rPr>
      </w:pPr>
      <w:r>
        <w:rPr>
          <w:spacing w:val="-4"/>
          <w:sz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F439A1" w:rsidRDefault="00F439A1">
      <w:pPr>
        <w:pStyle w:val="ConsPlusNormal"/>
        <w:ind w:firstLine="540"/>
        <w:jc w:val="both"/>
        <w:rPr>
          <w:spacing w:val="-4"/>
          <w:sz w:val="16"/>
        </w:rPr>
      </w:pPr>
      <w:r>
        <w:rPr>
          <w:spacing w:val="-4"/>
          <w:sz w:val="16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F439A1" w:rsidRDefault="00F439A1">
      <w:pPr>
        <w:ind w:firstLine="708"/>
        <w:jc w:val="both"/>
        <w:rPr>
          <w:spacing w:val="-4"/>
          <w:sz w:val="16"/>
        </w:rPr>
      </w:pPr>
      <w:r>
        <w:rPr>
          <w:spacing w:val="-4"/>
          <w:sz w:val="16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F439A1" w:rsidRDefault="00F439A1">
      <w:pPr>
        <w:jc w:val="both"/>
        <w:rPr>
          <w:spacing w:val="-4"/>
          <w:sz w:val="20"/>
        </w:rPr>
      </w:pPr>
    </w:p>
    <w:p w:rsidR="00F439A1" w:rsidRDefault="00F439A1">
      <w:pPr>
        <w:pStyle w:val="BodyTextIndent3"/>
        <w:ind w:right="-39" w:firstLine="708"/>
        <w:rPr>
          <w:rFonts w:ascii="Times New Roman" w:hAnsi="Times New Roman"/>
          <w:spacing w:val="-4"/>
          <w:sz w:val="16"/>
        </w:rPr>
      </w:pPr>
      <w:r>
        <w:rPr>
          <w:rFonts w:ascii="Times New Roman" w:hAnsi="Times New Roman"/>
          <w:b/>
          <w:spacing w:val="-4"/>
          <w:sz w:val="16"/>
        </w:rPr>
        <w:t>При кумулятивном голосовании (вопрос № 3  повестки дня)</w:t>
      </w:r>
      <w:r>
        <w:rPr>
          <w:rFonts w:ascii="Times New Roman" w:hAnsi="Times New Roman"/>
          <w:spacing w:val="-4"/>
          <w:sz w:val="16"/>
        </w:rPr>
        <w:t xml:space="preserve"> число голосов, принадлежащих каждому акционеру, умножается на число лиц, которые должны быть избраны в совет директоров (наблюдательный совет) общества, и акционер вправе отдать полученные таким образом голоса полностью за одного кандидата или распределить их между двумя и более кандидатами</w:t>
      </w:r>
    </w:p>
    <w:p w:rsidR="00F439A1" w:rsidRDefault="00F439A1">
      <w:pPr>
        <w:pStyle w:val="BodyTextIndent3"/>
        <w:ind w:right="-39" w:firstLine="0"/>
        <w:rPr>
          <w:rFonts w:ascii="Times New Roman" w:hAnsi="Times New Roman"/>
          <w:spacing w:val="-4"/>
          <w:sz w:val="16"/>
        </w:rPr>
      </w:pPr>
      <w:r>
        <w:rPr>
          <w:rFonts w:ascii="Times New Roman" w:hAnsi="Times New Roman"/>
          <w:spacing w:val="-4"/>
          <w:sz w:val="16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кандидата.</w:t>
      </w:r>
    </w:p>
    <w:p w:rsidR="00F439A1" w:rsidRDefault="00F439A1">
      <w:pPr>
        <w:ind w:right="-39"/>
        <w:jc w:val="both"/>
        <w:rPr>
          <w:spacing w:val="-4"/>
          <w:sz w:val="16"/>
        </w:rPr>
      </w:pPr>
      <w:r>
        <w:rPr>
          <w:spacing w:val="-4"/>
          <w:sz w:val="16"/>
        </w:rPr>
        <w:t>Избранными в состав совета директоров (наблюдательного совета) общества считаются кандидаты, набравшие наибольшее число голосов.</w:t>
      </w:r>
    </w:p>
    <w:sectPr w:rsidR="00F439A1" w:rsidSect="003B0DAD">
      <w:pgSz w:w="11907" w:h="16840"/>
      <w:pgMar w:top="360" w:right="747" w:bottom="35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DAD"/>
    <w:rsid w:val="0007477A"/>
    <w:rsid w:val="002C424E"/>
    <w:rsid w:val="003B0DAD"/>
    <w:rsid w:val="0049281B"/>
    <w:rsid w:val="00F4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DAD"/>
    <w:rPr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0DAD"/>
    <w:pPr>
      <w:spacing w:before="120" w:after="120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DAD"/>
    <w:pPr>
      <w:keepNext/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0DAD"/>
    <w:pPr>
      <w:spacing w:before="120" w:after="120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DAD"/>
    <w:pPr>
      <w:spacing w:before="120" w:after="120"/>
      <w:jc w:val="both"/>
      <w:outlineLvl w:val="3"/>
    </w:pPr>
    <w:rPr>
      <w:rFonts w:ascii="XO Thames" w:hAnsi="XO Thames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DAD"/>
    <w:pPr>
      <w:spacing w:before="120" w:after="120"/>
      <w:jc w:val="both"/>
      <w:outlineLvl w:val="4"/>
    </w:pPr>
    <w:rPr>
      <w:rFonts w:ascii="XO Thames" w:hAnsi="XO Thames"/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DAD"/>
    <w:rPr>
      <w:rFonts w:ascii="XO Thames" w:hAnsi="XO Thames"/>
      <w:b/>
      <w:sz w:val="32"/>
    </w:rPr>
  </w:style>
  <w:style w:type="character" w:customStyle="1" w:styleId="Heading2Char">
    <w:name w:val="Heading 2 Char"/>
    <w:basedOn w:val="Normal1"/>
    <w:link w:val="Heading2"/>
    <w:uiPriority w:val="99"/>
    <w:locked/>
    <w:rsid w:val="003B0DAD"/>
    <w:rPr>
      <w:rFonts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B0DAD"/>
    <w:rPr>
      <w:rFonts w:ascii="XO Thames" w:hAnsi="XO Thames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DAD"/>
    <w:rPr>
      <w:rFonts w:ascii="XO Thames" w:hAnsi="XO Thames"/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DAD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3B0DAD"/>
    <w:rPr>
      <w:sz w:val="24"/>
    </w:rPr>
  </w:style>
  <w:style w:type="paragraph" w:styleId="PlainText">
    <w:name w:val="Plain Text"/>
    <w:basedOn w:val="Normal"/>
    <w:link w:val="PlainTextChar"/>
    <w:uiPriority w:val="99"/>
    <w:rsid w:val="003B0DAD"/>
    <w:rPr>
      <w:rFonts w:ascii="Courier New" w:hAnsi="Courier New"/>
      <w:sz w:val="20"/>
    </w:rPr>
  </w:style>
  <w:style w:type="character" w:customStyle="1" w:styleId="PlainTextChar">
    <w:name w:val="Plain Text Char"/>
    <w:basedOn w:val="Normal1"/>
    <w:link w:val="PlainText"/>
    <w:uiPriority w:val="99"/>
    <w:locked/>
    <w:rsid w:val="003B0DAD"/>
    <w:rPr>
      <w:rFonts w:ascii="Courier New" w:hAnsi="Courier New" w:cs="Times New Roman"/>
      <w:sz w:val="20"/>
    </w:rPr>
  </w:style>
  <w:style w:type="paragraph" w:styleId="TOC2">
    <w:name w:val="toc 2"/>
    <w:basedOn w:val="Normal"/>
    <w:next w:val="Normal"/>
    <w:link w:val="TOC2Char"/>
    <w:uiPriority w:val="99"/>
    <w:rsid w:val="003B0DAD"/>
    <w:pPr>
      <w:ind w:left="200"/>
    </w:pPr>
    <w:rPr>
      <w:rFonts w:ascii="XO Thames" w:hAnsi="XO Thames"/>
      <w:color w:val="auto"/>
      <w:sz w:val="28"/>
    </w:rPr>
  </w:style>
  <w:style w:type="character" w:customStyle="1" w:styleId="TOC2Char">
    <w:name w:val="TOC 2 Char"/>
    <w:link w:val="TOC2"/>
    <w:uiPriority w:val="99"/>
    <w:locked/>
    <w:rsid w:val="003B0DAD"/>
    <w:rPr>
      <w:rFonts w:ascii="XO Thames" w:hAnsi="XO Thames"/>
      <w:sz w:val="28"/>
    </w:rPr>
  </w:style>
  <w:style w:type="paragraph" w:styleId="TOC4">
    <w:name w:val="toc 4"/>
    <w:basedOn w:val="Normal"/>
    <w:next w:val="Normal"/>
    <w:link w:val="TOC4Char"/>
    <w:uiPriority w:val="99"/>
    <w:rsid w:val="003B0DAD"/>
    <w:pPr>
      <w:ind w:left="600"/>
    </w:pPr>
    <w:rPr>
      <w:rFonts w:ascii="XO Thames" w:hAnsi="XO Thames"/>
      <w:color w:val="auto"/>
      <w:sz w:val="28"/>
    </w:rPr>
  </w:style>
  <w:style w:type="character" w:customStyle="1" w:styleId="TOC4Char">
    <w:name w:val="TOC 4 Char"/>
    <w:link w:val="TOC4"/>
    <w:uiPriority w:val="99"/>
    <w:locked/>
    <w:rsid w:val="003B0DAD"/>
    <w:rPr>
      <w:rFonts w:ascii="XO Thames" w:hAnsi="XO Thames"/>
      <w:sz w:val="28"/>
    </w:rPr>
  </w:style>
  <w:style w:type="paragraph" w:styleId="TOC6">
    <w:name w:val="toc 6"/>
    <w:basedOn w:val="Normal"/>
    <w:next w:val="Normal"/>
    <w:link w:val="TOC6Char"/>
    <w:uiPriority w:val="99"/>
    <w:rsid w:val="003B0DAD"/>
    <w:pPr>
      <w:ind w:left="1000"/>
    </w:pPr>
    <w:rPr>
      <w:rFonts w:ascii="XO Thames" w:hAnsi="XO Thames"/>
      <w:color w:val="auto"/>
      <w:sz w:val="28"/>
    </w:rPr>
  </w:style>
  <w:style w:type="character" w:customStyle="1" w:styleId="TOC6Char">
    <w:name w:val="TOC 6 Char"/>
    <w:link w:val="TOC6"/>
    <w:uiPriority w:val="99"/>
    <w:locked/>
    <w:rsid w:val="003B0DAD"/>
    <w:rPr>
      <w:rFonts w:ascii="XO Thames" w:hAnsi="XO Thames"/>
      <w:sz w:val="28"/>
    </w:rPr>
  </w:style>
  <w:style w:type="paragraph" w:styleId="TOC7">
    <w:name w:val="toc 7"/>
    <w:basedOn w:val="Normal"/>
    <w:next w:val="Normal"/>
    <w:link w:val="TOC7Char"/>
    <w:uiPriority w:val="99"/>
    <w:rsid w:val="003B0DAD"/>
    <w:pPr>
      <w:ind w:left="1200"/>
    </w:pPr>
    <w:rPr>
      <w:rFonts w:ascii="XO Thames" w:hAnsi="XO Thames"/>
      <w:color w:val="auto"/>
      <w:sz w:val="28"/>
    </w:rPr>
  </w:style>
  <w:style w:type="character" w:customStyle="1" w:styleId="TOC7Char">
    <w:name w:val="TOC 7 Char"/>
    <w:link w:val="TOC7"/>
    <w:uiPriority w:val="99"/>
    <w:locked/>
    <w:rsid w:val="003B0DAD"/>
    <w:rPr>
      <w:rFonts w:ascii="XO Thames" w:hAnsi="XO Thames"/>
      <w:sz w:val="28"/>
    </w:rPr>
  </w:style>
  <w:style w:type="paragraph" w:customStyle="1" w:styleId="1">
    <w:name w:val="Основной текст Знак1"/>
    <w:link w:val="11"/>
    <w:uiPriority w:val="99"/>
    <w:rsid w:val="003B0DAD"/>
    <w:pPr>
      <w:spacing w:after="200" w:line="276" w:lineRule="auto"/>
    </w:pPr>
    <w:rPr>
      <w:spacing w:val="5"/>
      <w:sz w:val="21"/>
      <w:szCs w:val="20"/>
    </w:rPr>
  </w:style>
  <w:style w:type="character" w:customStyle="1" w:styleId="11">
    <w:name w:val="Основной текст Знак11"/>
    <w:link w:val="1"/>
    <w:uiPriority w:val="99"/>
    <w:locked/>
    <w:rsid w:val="003B0DAD"/>
    <w:rPr>
      <w:spacing w:val="5"/>
      <w:sz w:val="21"/>
    </w:rPr>
  </w:style>
  <w:style w:type="paragraph" w:styleId="BodyText">
    <w:name w:val="Body Text"/>
    <w:basedOn w:val="Normal"/>
    <w:link w:val="BodyTextChar"/>
    <w:uiPriority w:val="99"/>
    <w:rsid w:val="003B0DAD"/>
    <w:pPr>
      <w:spacing w:after="120"/>
    </w:pPr>
  </w:style>
  <w:style w:type="character" w:customStyle="1" w:styleId="BodyTextChar">
    <w:name w:val="Body Text Char"/>
    <w:basedOn w:val="Normal1"/>
    <w:link w:val="BodyText"/>
    <w:uiPriority w:val="99"/>
    <w:locked/>
    <w:rsid w:val="003B0DAD"/>
    <w:rPr>
      <w:rFonts w:cs="Times New Roman"/>
    </w:rPr>
  </w:style>
  <w:style w:type="paragraph" w:customStyle="1" w:styleId="a">
    <w:name w:val="Основной текст + Полужирный"/>
    <w:link w:val="10"/>
    <w:uiPriority w:val="99"/>
    <w:rsid w:val="003B0DAD"/>
    <w:pPr>
      <w:spacing w:after="200" w:line="276" w:lineRule="auto"/>
    </w:pPr>
    <w:rPr>
      <w:b/>
      <w:spacing w:val="6"/>
      <w:sz w:val="21"/>
      <w:szCs w:val="20"/>
    </w:rPr>
  </w:style>
  <w:style w:type="character" w:customStyle="1" w:styleId="10">
    <w:name w:val="Основной текст + Полужирный1"/>
    <w:link w:val="a"/>
    <w:uiPriority w:val="99"/>
    <w:locked/>
    <w:rsid w:val="003B0DAD"/>
    <w:rPr>
      <w:b/>
      <w:spacing w:val="6"/>
      <w:sz w:val="21"/>
    </w:rPr>
  </w:style>
  <w:style w:type="paragraph" w:styleId="TOC3">
    <w:name w:val="toc 3"/>
    <w:basedOn w:val="Normal"/>
    <w:next w:val="Normal"/>
    <w:link w:val="TOC3Char"/>
    <w:uiPriority w:val="99"/>
    <w:rsid w:val="003B0DAD"/>
    <w:pPr>
      <w:ind w:left="400"/>
    </w:pPr>
    <w:rPr>
      <w:rFonts w:ascii="XO Thames" w:hAnsi="XO Thames"/>
      <w:color w:val="auto"/>
      <w:sz w:val="28"/>
    </w:rPr>
  </w:style>
  <w:style w:type="character" w:customStyle="1" w:styleId="TOC3Char">
    <w:name w:val="TOC 3 Char"/>
    <w:link w:val="TOC3"/>
    <w:uiPriority w:val="99"/>
    <w:locked/>
    <w:rsid w:val="003B0DAD"/>
    <w:rPr>
      <w:rFonts w:ascii="XO Thames" w:hAnsi="XO Thames"/>
      <w:sz w:val="28"/>
    </w:rPr>
  </w:style>
  <w:style w:type="paragraph" w:customStyle="1" w:styleId="WW8Num12z2">
    <w:name w:val="WW8Num12z2"/>
    <w:link w:val="WW8Num12z21"/>
    <w:uiPriority w:val="99"/>
    <w:rsid w:val="003B0DAD"/>
    <w:pPr>
      <w:spacing w:after="200" w:line="276" w:lineRule="auto"/>
    </w:pPr>
    <w:rPr>
      <w:rFonts w:ascii="StarSymbol" w:hAnsi="StarSymbol"/>
      <w:sz w:val="18"/>
      <w:szCs w:val="20"/>
    </w:rPr>
  </w:style>
  <w:style w:type="character" w:customStyle="1" w:styleId="WW8Num12z21">
    <w:name w:val="WW8Num12z21"/>
    <w:link w:val="WW8Num12z2"/>
    <w:uiPriority w:val="99"/>
    <w:locked/>
    <w:rsid w:val="003B0DAD"/>
    <w:rPr>
      <w:rFonts w:ascii="StarSymbol" w:hAnsi="StarSymbol"/>
      <w:sz w:val="18"/>
    </w:rPr>
  </w:style>
  <w:style w:type="paragraph" w:styleId="BalloonText">
    <w:name w:val="Balloon Text"/>
    <w:basedOn w:val="Normal"/>
    <w:link w:val="BalloonTextChar"/>
    <w:uiPriority w:val="99"/>
    <w:rsid w:val="003B0DAD"/>
    <w:rPr>
      <w:rFonts w:ascii="Tahoma" w:hAnsi="Tahoma"/>
      <w:sz w:val="16"/>
    </w:rPr>
  </w:style>
  <w:style w:type="character" w:customStyle="1" w:styleId="BalloonTextChar">
    <w:name w:val="Balloon Text Char"/>
    <w:basedOn w:val="Normal1"/>
    <w:link w:val="BalloonText"/>
    <w:uiPriority w:val="99"/>
    <w:locked/>
    <w:rsid w:val="003B0DAD"/>
    <w:rPr>
      <w:rFonts w:ascii="Tahoma" w:hAnsi="Tahoma" w:cs="Times New Roman"/>
      <w:sz w:val="16"/>
    </w:rPr>
  </w:style>
  <w:style w:type="paragraph" w:customStyle="1" w:styleId="Hyperlink1">
    <w:name w:val="Hyperlink1"/>
    <w:link w:val="Hyperlink"/>
    <w:uiPriority w:val="99"/>
    <w:rsid w:val="003B0DAD"/>
    <w:pPr>
      <w:spacing w:after="200" w:line="276" w:lineRule="auto"/>
    </w:pPr>
    <w:rPr>
      <w:color w:val="0000FF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3B0DAD"/>
    <w:rPr>
      <w:rFonts w:cs="Times New Roman"/>
      <w:color w:val="0000FF"/>
      <w:sz w:val="22"/>
      <w:u w:val="single"/>
    </w:rPr>
  </w:style>
  <w:style w:type="paragraph" w:customStyle="1" w:styleId="Footnote">
    <w:name w:val="Footnote"/>
    <w:link w:val="Footnote1"/>
    <w:uiPriority w:val="99"/>
    <w:rsid w:val="003B0DAD"/>
    <w:pPr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3B0DAD"/>
    <w:rPr>
      <w:rFonts w:ascii="XO Thames" w:hAnsi="XO Thames"/>
      <w:sz w:val="22"/>
    </w:rPr>
  </w:style>
  <w:style w:type="paragraph" w:styleId="TOC1">
    <w:name w:val="toc 1"/>
    <w:basedOn w:val="Normal"/>
    <w:next w:val="Normal"/>
    <w:link w:val="TOC1Char"/>
    <w:uiPriority w:val="99"/>
    <w:rsid w:val="003B0DAD"/>
    <w:pPr>
      <w:spacing w:after="200" w:line="276" w:lineRule="auto"/>
    </w:pPr>
    <w:rPr>
      <w:rFonts w:ascii="XO Thames" w:hAnsi="XO Thames"/>
      <w:b/>
      <w:color w:val="auto"/>
      <w:sz w:val="28"/>
    </w:rPr>
  </w:style>
  <w:style w:type="character" w:customStyle="1" w:styleId="TOC1Char">
    <w:name w:val="TOC 1 Char"/>
    <w:link w:val="TOC1"/>
    <w:uiPriority w:val="99"/>
    <w:locked/>
    <w:rsid w:val="003B0DAD"/>
    <w:rPr>
      <w:rFonts w:ascii="XO Thames" w:hAnsi="XO Thames"/>
      <w:b/>
      <w:sz w:val="28"/>
    </w:rPr>
  </w:style>
  <w:style w:type="paragraph" w:customStyle="1" w:styleId="2">
    <w:name w:val="Формальный2"/>
    <w:basedOn w:val="Normal"/>
    <w:link w:val="21"/>
    <w:uiPriority w:val="99"/>
    <w:rsid w:val="003B0DAD"/>
    <w:pPr>
      <w:spacing w:before="60" w:after="60"/>
    </w:pPr>
    <w:rPr>
      <w:rFonts w:ascii="Arial" w:hAnsi="Arial"/>
      <w:b/>
    </w:rPr>
  </w:style>
  <w:style w:type="character" w:customStyle="1" w:styleId="21">
    <w:name w:val="Формальный21"/>
    <w:basedOn w:val="Normal1"/>
    <w:link w:val="2"/>
    <w:uiPriority w:val="99"/>
    <w:locked/>
    <w:rsid w:val="003B0DAD"/>
    <w:rPr>
      <w:rFonts w:ascii="Arial" w:hAnsi="Arial" w:cs="Times New Roman"/>
      <w:b/>
    </w:rPr>
  </w:style>
  <w:style w:type="paragraph" w:customStyle="1" w:styleId="HeaderandFooter">
    <w:name w:val="Header and Footer"/>
    <w:link w:val="HeaderandFooter1"/>
    <w:uiPriority w:val="99"/>
    <w:rsid w:val="003B0DAD"/>
    <w:pPr>
      <w:jc w:val="both"/>
    </w:pPr>
    <w:rPr>
      <w:rFonts w:ascii="XO Thames" w:hAnsi="XO Thames"/>
      <w:color w:val="00000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3B0DAD"/>
    <w:rPr>
      <w:rFonts w:ascii="XO Thames" w:hAnsi="XO Thames"/>
      <w:color w:val="000000"/>
      <w:sz w:val="22"/>
      <w:lang w:val="ru-RU" w:eastAsia="ru-RU"/>
    </w:rPr>
  </w:style>
  <w:style w:type="paragraph" w:styleId="NormalWeb">
    <w:name w:val="Normal (Web)"/>
    <w:basedOn w:val="Normal"/>
    <w:link w:val="NormalWebChar"/>
    <w:uiPriority w:val="99"/>
    <w:rsid w:val="003B0DAD"/>
    <w:pPr>
      <w:spacing w:beforeAutospacing="1" w:after="119"/>
    </w:pPr>
  </w:style>
  <w:style w:type="character" w:customStyle="1" w:styleId="NormalWebChar">
    <w:name w:val="Normal (Web) Char"/>
    <w:basedOn w:val="Normal1"/>
    <w:link w:val="NormalWeb"/>
    <w:uiPriority w:val="99"/>
    <w:locked/>
    <w:rsid w:val="003B0DAD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3B0DAD"/>
    <w:pPr>
      <w:ind w:firstLine="567"/>
      <w:jc w:val="both"/>
    </w:pPr>
    <w:rPr>
      <w:rFonts w:ascii="Arial" w:hAnsi="Arial"/>
      <w:sz w:val="20"/>
    </w:rPr>
  </w:style>
  <w:style w:type="character" w:customStyle="1" w:styleId="BodyTextIndent3Char">
    <w:name w:val="Body Text Indent 3 Char"/>
    <w:basedOn w:val="Normal1"/>
    <w:link w:val="BodyTextIndent3"/>
    <w:uiPriority w:val="99"/>
    <w:locked/>
    <w:rsid w:val="003B0DAD"/>
    <w:rPr>
      <w:rFonts w:ascii="Arial" w:hAnsi="Arial" w:cs="Times New Roman"/>
      <w:sz w:val="20"/>
    </w:rPr>
  </w:style>
  <w:style w:type="paragraph" w:customStyle="1" w:styleId="DefaultParagraphFont1">
    <w:name w:val="Default Paragraph Font1"/>
    <w:uiPriority w:val="99"/>
    <w:rsid w:val="003B0DAD"/>
    <w:pPr>
      <w:spacing w:after="200" w:line="276" w:lineRule="auto"/>
    </w:pPr>
    <w:rPr>
      <w:color w:val="000000"/>
      <w:szCs w:val="20"/>
    </w:rPr>
  </w:style>
  <w:style w:type="paragraph" w:customStyle="1" w:styleId="prilozhenie">
    <w:name w:val="prilozhenie"/>
    <w:basedOn w:val="Normal"/>
    <w:link w:val="prilozhenie1"/>
    <w:uiPriority w:val="99"/>
    <w:rsid w:val="003B0DAD"/>
    <w:pPr>
      <w:ind w:firstLine="709"/>
      <w:jc w:val="both"/>
    </w:pPr>
  </w:style>
  <w:style w:type="character" w:customStyle="1" w:styleId="prilozhenie1">
    <w:name w:val="prilozhenie1"/>
    <w:basedOn w:val="Normal1"/>
    <w:link w:val="prilozhenie"/>
    <w:uiPriority w:val="99"/>
    <w:locked/>
    <w:rsid w:val="003B0DAD"/>
    <w:rPr>
      <w:rFonts w:cs="Times New Roman"/>
    </w:rPr>
  </w:style>
  <w:style w:type="paragraph" w:styleId="TOC9">
    <w:name w:val="toc 9"/>
    <w:basedOn w:val="Normal"/>
    <w:next w:val="Normal"/>
    <w:link w:val="TOC9Char"/>
    <w:uiPriority w:val="99"/>
    <w:rsid w:val="003B0DAD"/>
    <w:pPr>
      <w:ind w:left="1600"/>
    </w:pPr>
    <w:rPr>
      <w:rFonts w:ascii="XO Thames" w:hAnsi="XO Thames"/>
      <w:color w:val="auto"/>
      <w:sz w:val="28"/>
    </w:rPr>
  </w:style>
  <w:style w:type="character" w:customStyle="1" w:styleId="TOC9Char">
    <w:name w:val="TOC 9 Char"/>
    <w:link w:val="TOC9"/>
    <w:uiPriority w:val="99"/>
    <w:locked/>
    <w:rsid w:val="003B0DAD"/>
    <w:rPr>
      <w:rFonts w:ascii="XO Thames" w:hAnsi="XO Thames"/>
      <w:sz w:val="28"/>
    </w:rPr>
  </w:style>
  <w:style w:type="paragraph" w:styleId="Footer">
    <w:name w:val="footer"/>
    <w:basedOn w:val="Normal"/>
    <w:link w:val="FooterChar"/>
    <w:uiPriority w:val="99"/>
    <w:rsid w:val="003B0DA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Normal1"/>
    <w:link w:val="Footer"/>
    <w:uiPriority w:val="99"/>
    <w:locked/>
    <w:rsid w:val="003B0DAD"/>
    <w:rPr>
      <w:rFonts w:cs="Times New Roman"/>
    </w:rPr>
  </w:style>
  <w:style w:type="paragraph" w:customStyle="1" w:styleId="ConsNormal">
    <w:name w:val="ConsNormal"/>
    <w:link w:val="ConsNormal1"/>
    <w:uiPriority w:val="99"/>
    <w:rsid w:val="003B0DAD"/>
    <w:pPr>
      <w:widowControl w:val="0"/>
      <w:ind w:firstLine="720"/>
    </w:pPr>
    <w:rPr>
      <w:rFonts w:ascii="Arial" w:hAnsi="Arial"/>
      <w:color w:val="000000"/>
      <w:szCs w:val="20"/>
    </w:rPr>
  </w:style>
  <w:style w:type="character" w:customStyle="1" w:styleId="ConsNormal1">
    <w:name w:val="ConsNormal1"/>
    <w:link w:val="ConsNormal"/>
    <w:uiPriority w:val="99"/>
    <w:locked/>
    <w:rsid w:val="003B0DAD"/>
    <w:rPr>
      <w:rFonts w:ascii="Arial" w:hAnsi="Arial"/>
      <w:color w:val="000000"/>
      <w:sz w:val="22"/>
      <w:lang w:val="ru-RU" w:eastAsia="ru-RU"/>
    </w:rPr>
  </w:style>
  <w:style w:type="paragraph" w:styleId="TOC8">
    <w:name w:val="toc 8"/>
    <w:basedOn w:val="Normal"/>
    <w:next w:val="Normal"/>
    <w:link w:val="TOC8Char"/>
    <w:uiPriority w:val="99"/>
    <w:rsid w:val="003B0DAD"/>
    <w:pPr>
      <w:ind w:left="1400"/>
    </w:pPr>
    <w:rPr>
      <w:rFonts w:ascii="XO Thames" w:hAnsi="XO Thames"/>
      <w:color w:val="auto"/>
      <w:sz w:val="28"/>
    </w:rPr>
  </w:style>
  <w:style w:type="character" w:customStyle="1" w:styleId="TOC8Char">
    <w:name w:val="TOC 8 Char"/>
    <w:link w:val="TOC8"/>
    <w:uiPriority w:val="99"/>
    <w:locked/>
    <w:rsid w:val="003B0DAD"/>
    <w:rPr>
      <w:rFonts w:ascii="XO Thames" w:hAnsi="XO Thames"/>
      <w:sz w:val="28"/>
    </w:rPr>
  </w:style>
  <w:style w:type="paragraph" w:customStyle="1" w:styleId="BodyText21">
    <w:name w:val="Body Text 21"/>
    <w:basedOn w:val="Normal"/>
    <w:link w:val="BodyText211"/>
    <w:uiPriority w:val="99"/>
    <w:rsid w:val="003B0DAD"/>
    <w:pPr>
      <w:jc w:val="both"/>
    </w:pPr>
  </w:style>
  <w:style w:type="character" w:customStyle="1" w:styleId="BodyText211">
    <w:name w:val="Body Text 211"/>
    <w:basedOn w:val="Normal1"/>
    <w:link w:val="BodyText21"/>
    <w:uiPriority w:val="99"/>
    <w:locked/>
    <w:rsid w:val="003B0DAD"/>
    <w:rPr>
      <w:rFonts w:cs="Times New Roman"/>
    </w:rPr>
  </w:style>
  <w:style w:type="paragraph" w:styleId="TOC5">
    <w:name w:val="toc 5"/>
    <w:basedOn w:val="Normal"/>
    <w:next w:val="Normal"/>
    <w:link w:val="TOC5Char"/>
    <w:uiPriority w:val="99"/>
    <w:rsid w:val="003B0DAD"/>
    <w:pPr>
      <w:ind w:left="800"/>
    </w:pPr>
    <w:rPr>
      <w:rFonts w:ascii="XO Thames" w:hAnsi="XO Thames"/>
      <w:color w:val="auto"/>
      <w:sz w:val="28"/>
    </w:rPr>
  </w:style>
  <w:style w:type="character" w:customStyle="1" w:styleId="TOC5Char">
    <w:name w:val="TOC 5 Char"/>
    <w:link w:val="TOC5"/>
    <w:uiPriority w:val="99"/>
    <w:locked/>
    <w:rsid w:val="003B0DAD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uiPriority w:val="99"/>
    <w:rsid w:val="003B0DAD"/>
    <w:rPr>
      <w:sz w:val="24"/>
      <w:szCs w:val="20"/>
    </w:rPr>
  </w:style>
  <w:style w:type="character" w:customStyle="1" w:styleId="ConsPlusNormal1">
    <w:name w:val="ConsPlusNormal1"/>
    <w:link w:val="ConsPlusNormal"/>
    <w:uiPriority w:val="99"/>
    <w:locked/>
    <w:rsid w:val="003B0DAD"/>
    <w:rPr>
      <w:sz w:val="24"/>
    </w:rPr>
  </w:style>
  <w:style w:type="paragraph" w:styleId="Header">
    <w:name w:val="header"/>
    <w:basedOn w:val="Normal"/>
    <w:link w:val="HeaderChar"/>
    <w:uiPriority w:val="99"/>
    <w:rsid w:val="003B0DA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Normal1"/>
    <w:link w:val="Header"/>
    <w:uiPriority w:val="99"/>
    <w:locked/>
    <w:rsid w:val="003B0DAD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3B0DAD"/>
    <w:pPr>
      <w:jc w:val="both"/>
    </w:pPr>
    <w:rPr>
      <w:rFonts w:ascii="XO Thames" w:hAnsi="XO Thames"/>
      <w:i/>
      <w:color w:val="aut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0DAD"/>
    <w:rPr>
      <w:rFonts w:ascii="XO Thames" w:hAnsi="XO Thames"/>
      <w:i/>
      <w:sz w:val="24"/>
    </w:rPr>
  </w:style>
  <w:style w:type="paragraph" w:customStyle="1" w:styleId="WW8Num12z1">
    <w:name w:val="WW8Num12z1"/>
    <w:link w:val="WW8Num12z11"/>
    <w:uiPriority w:val="99"/>
    <w:rsid w:val="003B0DAD"/>
    <w:pPr>
      <w:spacing w:after="200" w:line="276" w:lineRule="auto"/>
    </w:pPr>
    <w:rPr>
      <w:rFonts w:ascii="Wingdings 2" w:hAnsi="Wingdings 2"/>
      <w:sz w:val="18"/>
      <w:szCs w:val="20"/>
    </w:rPr>
  </w:style>
  <w:style w:type="character" w:customStyle="1" w:styleId="WW8Num12z11">
    <w:name w:val="WW8Num12z11"/>
    <w:link w:val="WW8Num12z1"/>
    <w:uiPriority w:val="99"/>
    <w:locked/>
    <w:rsid w:val="003B0DAD"/>
    <w:rPr>
      <w:rFonts w:ascii="Wingdings 2" w:hAnsi="Wingdings 2"/>
      <w:sz w:val="18"/>
    </w:rPr>
  </w:style>
  <w:style w:type="paragraph" w:customStyle="1" w:styleId="a0">
    <w:name w:val="Содержимое таблицы"/>
    <w:basedOn w:val="Normal"/>
    <w:link w:val="12"/>
    <w:uiPriority w:val="99"/>
    <w:rsid w:val="003B0DAD"/>
    <w:pPr>
      <w:widowControl w:val="0"/>
    </w:pPr>
  </w:style>
  <w:style w:type="character" w:customStyle="1" w:styleId="12">
    <w:name w:val="Содержимое таблицы1"/>
    <w:basedOn w:val="Normal1"/>
    <w:link w:val="a0"/>
    <w:uiPriority w:val="99"/>
    <w:locked/>
    <w:rsid w:val="003B0DAD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B0DAD"/>
    <w:pPr>
      <w:jc w:val="center"/>
    </w:pPr>
    <w:rPr>
      <w:b/>
    </w:rPr>
  </w:style>
  <w:style w:type="character" w:customStyle="1" w:styleId="TitleChar">
    <w:name w:val="Title Char"/>
    <w:basedOn w:val="Normal1"/>
    <w:link w:val="Title"/>
    <w:uiPriority w:val="99"/>
    <w:locked/>
    <w:rsid w:val="003B0DAD"/>
    <w:rPr>
      <w:rFonts w:cs="Times New Roman"/>
      <w:b/>
    </w:rPr>
  </w:style>
  <w:style w:type="paragraph" w:styleId="BodyTextIndent2">
    <w:name w:val="Body Text Indent 2"/>
    <w:basedOn w:val="Normal"/>
    <w:link w:val="BodyTextIndent2Char"/>
    <w:uiPriority w:val="99"/>
    <w:rsid w:val="003B0DA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Normal1"/>
    <w:link w:val="BodyTextIndent2"/>
    <w:uiPriority w:val="99"/>
    <w:locked/>
    <w:rsid w:val="003B0DAD"/>
    <w:rPr>
      <w:rFonts w:cs="Times New Roman"/>
    </w:rPr>
  </w:style>
  <w:style w:type="table" w:styleId="TableGrid">
    <w:name w:val="Table Grid"/>
    <w:basedOn w:val="TableNormal"/>
    <w:uiPriority w:val="99"/>
    <w:rsid w:val="003B0D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1029</Words>
  <Characters>5870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Leb_ea</cp:lastModifiedBy>
  <cp:revision>2</cp:revision>
  <cp:lastPrinted>2023-04-10T10:48:00Z</cp:lastPrinted>
  <dcterms:created xsi:type="dcterms:W3CDTF">2023-04-10T10:47:00Z</dcterms:created>
  <dcterms:modified xsi:type="dcterms:W3CDTF">2023-04-10T10:51:00Z</dcterms:modified>
</cp:coreProperties>
</file>